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71"/>
        <w:gridCol w:w="789"/>
        <w:gridCol w:w="345"/>
        <w:gridCol w:w="575"/>
        <w:gridCol w:w="276"/>
        <w:gridCol w:w="1164"/>
        <w:gridCol w:w="760"/>
        <w:gridCol w:w="1129"/>
        <w:gridCol w:w="1071"/>
        <w:gridCol w:w="717"/>
        <w:gridCol w:w="1525"/>
        <w:gridCol w:w="1275"/>
        <w:gridCol w:w="1050"/>
        <w:gridCol w:w="937"/>
        <w:gridCol w:w="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附件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74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年咸宁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  <w:t>职业技术学院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公开选聘工作人员岗位表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事业单位类型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选聘对象范围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学位</w:t>
            </w:r>
            <w:r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咸宁职业技术学院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咸宁职业技术学院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教学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事业单位经组织、人社部门办理了正式进入手续的在编在岗事业单位工作人员。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临床医学类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全日制硕士研究生及以上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，2017年后非全日制硕士研究生可以报考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硕士及以上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45周岁以下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2021-06-25T10:09:32Z</dcterms:created>
  <dc:creator>Administrator</dc:creator>
  <cp:lastModifiedBy>Linda Lv</cp:lastModifiedBy>
  <dcterms:modified xsi:type="dcterms:W3CDTF">2021-06-25T10:10:03Z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8552793E66CA49229BF3BE5CCDF8F166</vt:lpwstr>
  </property>
</Properties>
</file>